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1B67A3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16.11.2023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П-23/ЧРНОМС-114</w:t>
      </w:r>
      <w:r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C3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E6C3F">
        <w:rPr>
          <w:rFonts w:ascii="Times New Roman" w:hAnsi="Times New Roman" w:cs="Times New Roman"/>
          <w:sz w:val="28"/>
          <w:szCs w:val="28"/>
        </w:rPr>
        <w:t xml:space="preserve"> </w:t>
      </w:r>
      <w:r w:rsidRPr="002563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области,</w:t>
      </w:r>
      <w:r w:rsidRPr="002563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 от 31.07.2018 № 93</w:t>
      </w: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563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8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9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Омской области от 24 июня 2015 г.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</w:t>
      </w:r>
      <w:r w:rsidRPr="0025635B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10" w:history="1">
        <w:r w:rsidRPr="002563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51AF" w:rsidRPr="0025635B" w:rsidRDefault="009C51AF" w:rsidP="001B67A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</w:t>
      </w:r>
      <w:r w:rsidR="00124110" w:rsidRPr="004F72D0">
        <w:rPr>
          <w:rFonts w:ascii="Times New Roman" w:hAnsi="Times New Roman" w:cs="Times New Roman"/>
          <w:sz w:val="28"/>
          <w:szCs w:val="28"/>
        </w:rPr>
        <w:t xml:space="preserve"> (далее Административный </w:t>
      </w:r>
      <w:hyperlink w:anchor="P32" w:history="1">
        <w:r w:rsidR="00124110" w:rsidRPr="004F72D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24110" w:rsidRPr="004F72D0">
        <w:rPr>
          <w:rFonts w:ascii="Times New Roman" w:hAnsi="Times New Roman" w:cs="Times New Roman"/>
          <w:sz w:val="28"/>
          <w:szCs w:val="28"/>
        </w:rPr>
        <w:t>)</w:t>
      </w:r>
      <w:r w:rsidRPr="004F72D0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Pr="0025635B">
        <w:rPr>
          <w:rFonts w:ascii="Times New Roman" w:hAnsi="Times New Roman" w:cs="Times New Roman"/>
          <w:sz w:val="28"/>
          <w:szCs w:val="28"/>
        </w:rPr>
        <w:t>одержания:</w:t>
      </w:r>
    </w:p>
    <w:p w:rsidR="009C51AF" w:rsidRPr="00124110" w:rsidRDefault="00124110" w:rsidP="001B67A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7 Главы 6 А</w:t>
      </w:r>
      <w:r>
        <w:rPr>
          <w:rFonts w:ascii="Times New Roman" w:hAnsi="Times New Roman" w:cs="Times New Roman"/>
          <w:sz w:val="28"/>
          <w:szCs w:val="28"/>
        </w:rPr>
        <w:t>дминистративный</w:t>
      </w:r>
      <w:r w:rsidRPr="002563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AF"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абзацами следующего содержания:</w:t>
      </w:r>
    </w:p>
    <w:p w:rsidR="00124110" w:rsidRPr="00124110" w:rsidRDefault="00124110" w:rsidP="001B67A3">
      <w:pPr>
        <w:pStyle w:val="ConsPlusNormal"/>
        <w:ind w:firstLine="540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12411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2411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По результатам рассмотрения заявления о размещении объектов, предусмотренных </w:t>
      </w:r>
      <w:hyperlink r:id="rId11" w:anchor="/document/70815020/entry/1006" w:history="1">
        <w:r w:rsidRPr="00124110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</w:rPr>
          <w:t xml:space="preserve">пунктом </w:t>
        </w:r>
      </w:hyperlink>
      <w:r w:rsidRPr="0012411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2, в части газопроводов давлением до 1,2 Мпа, для размещения которых не требуется разрешения на строительство, и </w:t>
      </w:r>
      <w:r w:rsidRPr="0012411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прилагаемых к нему документов решение о выдаче или об отказе в выдаче разрешения принимается уполномоченным органом в срок, не превышающий 10 рабочих дней со дня их поступления.</w:t>
      </w:r>
    </w:p>
    <w:p w:rsidR="00124110" w:rsidRPr="00124110" w:rsidRDefault="00124110" w:rsidP="001B67A3">
      <w:pPr>
        <w:pStyle w:val="ConsPlusNormal"/>
        <w:ind w:firstLine="540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12411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При этом в случае поступления нескольких заявлений и прилагаемых к ним документов в отношении одного земельного участка такие заявления и прилагаемые к ним документы рассматриваются в хронологическом порядке.».</w:t>
      </w:r>
    </w:p>
    <w:p w:rsidR="009C51AF" w:rsidRPr="0025635B" w:rsidRDefault="009C51AF" w:rsidP="001B67A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F72D0">
        <w:rPr>
          <w:rFonts w:ascii="Times New Roman" w:hAnsi="Times New Roman" w:cs="Times New Roman"/>
          <w:sz w:val="28"/>
          <w:szCs w:val="28"/>
        </w:rPr>
        <w:t>18 Главы 12</w:t>
      </w:r>
      <w:r w:rsidRPr="0025635B">
        <w:rPr>
          <w:rFonts w:ascii="Times New Roman" w:hAnsi="Times New Roman" w:cs="Times New Roman"/>
          <w:sz w:val="28"/>
          <w:szCs w:val="28"/>
        </w:rPr>
        <w:t xml:space="preserve"> </w:t>
      </w:r>
      <w:r w:rsidR="004F72D0" w:rsidRPr="004F72D0">
        <w:rPr>
          <w:rFonts w:ascii="Times New Roman" w:eastAsiaTheme="majorEastAsia" w:hAnsi="Times New Roman" w:cs="Times New Roman"/>
          <w:iCs/>
          <w:sz w:val="28"/>
          <w:szCs w:val="28"/>
        </w:rPr>
        <w:t xml:space="preserve">Административного регламента </w:t>
      </w:r>
      <w:r w:rsidRPr="0025635B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4F72D0" w:rsidRPr="004F72D0" w:rsidRDefault="009C51AF" w:rsidP="001B67A3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4F72D0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4F72D0" w:rsidRPr="004F72D0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4F72D0" w:rsidRPr="004F72D0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) заявление и прилагаемые к </w:t>
      </w:r>
      <w:r w:rsidR="004F72D0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нему документы не соответствуют </w:t>
      </w:r>
      <w:hyperlink r:id="rId12" w:anchor="/document/15595328/entry/1003" w:history="1">
        <w:r w:rsidR="0049217B" w:rsidRPr="004F72D0">
          <w:rPr>
            <w:rFonts w:ascii="Times New Roman" w:hAnsi="Times New Roman" w:cs="Times New Roman"/>
            <w:i w:val="0"/>
            <w:color w:val="auto"/>
            <w:spacing w:val="0"/>
            <w:sz w:val="28"/>
            <w:szCs w:val="28"/>
          </w:rPr>
          <w:t xml:space="preserve">пунктам </w:t>
        </w:r>
      </w:hyperlink>
      <w:hyperlink r:id="rId13" w:anchor="/document/15595328/entry/1004" w:history="1"/>
      <w:r w:rsidR="004F72D0" w:rsidRPr="004F72D0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11 и 12 Административного регламента либо в представленных документах и (или) заявлении содержатся недостоверные сведения;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2) в заявлении указаны предполагаемые к размещению объекты, не предусмотренные пунктом 2 Административного регламента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3) земли или земельный участок (часть земель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ного участка), на использование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которых испрашивается разрешение, предоставлены физическому или юридическому лицу;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 xml:space="preserve">4) земли или земельный участок (часть земельного участка), на использование которых испрашивается разрешение, используются на основании разрешения, выданного в соответствии с 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>Административным регламентом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, либо разрешения, выданного в порядке, установленном </w:t>
      </w:r>
      <w:hyperlink r:id="rId14" w:anchor="/document/12124624/entry/3934" w:history="1">
        <w:r w:rsidR="0049217B" w:rsidRPr="004F72D0">
          <w:rPr>
            <w:rFonts w:ascii="Times New Roman" w:eastAsiaTheme="majorEastAsia" w:hAnsi="Times New Roman" w:cs="Times New Roman"/>
            <w:iCs/>
            <w:sz w:val="28"/>
            <w:szCs w:val="28"/>
          </w:rPr>
          <w:t>статьей 39.34</w:t>
        </w:r>
      </w:hyperlink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 Земельного кодекса Российской Федерации;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5) размещение объектов повлечет нарушение ограничения использования земельных участков в случаях, установленных </w:t>
      </w:r>
      <w:hyperlink r:id="rId15" w:anchor="/document/12124624/entry/0" w:history="1">
        <w:r w:rsidR="0049217B" w:rsidRPr="004F72D0">
          <w:rPr>
            <w:rFonts w:ascii="Times New Roman" w:eastAsiaTheme="majorEastAsia" w:hAnsi="Times New Roman" w:cs="Times New Roman"/>
            <w:iCs/>
            <w:sz w:val="28"/>
            <w:szCs w:val="28"/>
          </w:rPr>
          <w:t>Земельным кодексом</w:t>
        </w:r>
      </w:hyperlink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 Российской Федерации, федеральными законами, либо ведет к нарушению требований градостроительных, противопожарных, санитарных норм и иных требований законодательства;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6) размещение объектов повлечет за собой ограничение использования земельного участка (территории) общего пользования, а также ограничение доступа на территорию общего пользования третьих лиц;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7) в заявлении указана цель использования земель или земельного участка (части земельного участка), не соответствующая назначению объекта (объектов), для размещения которого (которых) испрашивается разрешение;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8) в отношении земель или земельного участка (части земельного участка), разрешение на использование которых испрашивается, имеется ранее поступившее заявление другого лица, отвечающее требованиям, предъявляемым к заявлению и прилагаемым к нему документам;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9) заявление подано в отношении земель или земельного участка (части земельного участка), не находящихся в государственной или муниципальной собственности и (или) не расположенных на территории Чернолучинского городского поселения Омского муниципального района Омской области;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10) указанный в заявлении земельный участок является предметом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аукциона, извещение о проведении которого размещено в установленном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порядке;</w:t>
      </w:r>
    </w:p>
    <w:p w:rsidR="004F72D0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</w:rPr>
        <w:lastRenderedPageBreak/>
        <w:t xml:space="preserve">11) объекты, предусмотренные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под</w:t>
      </w:r>
      <w:hyperlink r:id="rId16" w:anchor="/document/70815020/entry/1024" w:history="1">
        <w:r w:rsidR="0049217B" w:rsidRPr="004F72D0">
          <w:rPr>
            <w:rFonts w:ascii="Times New Roman" w:eastAsiaTheme="majorEastAsia" w:hAnsi="Times New Roman" w:cs="Times New Roman"/>
            <w:iCs/>
            <w:sz w:val="28"/>
            <w:szCs w:val="28"/>
          </w:rPr>
          <w:t>пунктами 24</w:t>
        </w:r>
      </w:hyperlink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, </w:t>
      </w:r>
      <w:hyperlink r:id="rId17" w:anchor="/document/70815020/entry/1025" w:history="1">
        <w:r w:rsidR="0049217B" w:rsidRPr="004F72D0">
          <w:rPr>
            <w:rFonts w:ascii="Times New Roman" w:eastAsiaTheme="majorEastAsia" w:hAnsi="Times New Roman" w:cs="Times New Roman"/>
            <w:iCs/>
            <w:sz w:val="28"/>
            <w:szCs w:val="28"/>
          </w:rPr>
          <w:t>25</w:t>
        </w:r>
      </w:hyperlink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пункта 2 Административного регламента (за исключением велопарковок), планируется разместить в месте, не предусмотренном схемой размещения отдельных видов объектов на землях или земельных участках, утвержденной органом местного самоуправления Омской области.</w:t>
      </w:r>
    </w:p>
    <w:p w:rsidR="009C51AF" w:rsidRPr="004F72D0" w:rsidRDefault="004F72D0" w:rsidP="001B67A3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В решении об отказе в выдаче разрешения указывается соответствующее</w:t>
      </w:r>
      <w:r w:rsidRPr="004F72D0">
        <w:rPr>
          <w:rFonts w:asciiTheme="majorHAnsi" w:eastAsiaTheme="majorEastAsia" w:hAnsiTheme="majorHAnsi" w:cstheme="majorBidi"/>
          <w:iCs/>
          <w:sz w:val="24"/>
          <w:szCs w:val="24"/>
        </w:rPr>
        <w:t xml:space="preserve">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основание отказа.</w:t>
      </w:r>
      <w:r w:rsidR="009C51AF" w:rsidRPr="004F72D0">
        <w:rPr>
          <w:rFonts w:ascii="Times New Roman" w:hAnsi="Times New Roman" w:cs="Times New Roman"/>
          <w:sz w:val="28"/>
          <w:szCs w:val="28"/>
        </w:rPr>
        <w:t>».</w:t>
      </w:r>
    </w:p>
    <w:p w:rsidR="009C51AF" w:rsidRPr="003A5C1B" w:rsidRDefault="009C51AF" w:rsidP="001B67A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«чернолучье.рф». </w:t>
      </w:r>
    </w:p>
    <w:p w:rsidR="009C51AF" w:rsidRPr="0025635B" w:rsidRDefault="009C51AF" w:rsidP="001B67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392BEB"/>
    <w:sectPr w:rsidR="005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EB" w:rsidRDefault="00392BEB" w:rsidP="009C51AF">
      <w:pPr>
        <w:spacing w:after="0" w:line="240" w:lineRule="auto"/>
      </w:pPr>
      <w:r>
        <w:separator/>
      </w:r>
    </w:p>
  </w:endnote>
  <w:endnote w:type="continuationSeparator" w:id="0">
    <w:p w:rsidR="00392BEB" w:rsidRDefault="00392BEB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EB" w:rsidRDefault="00392BEB" w:rsidP="009C51AF">
      <w:pPr>
        <w:spacing w:after="0" w:line="240" w:lineRule="auto"/>
      </w:pPr>
      <w:r>
        <w:separator/>
      </w:r>
    </w:p>
  </w:footnote>
  <w:footnote w:type="continuationSeparator" w:id="0">
    <w:p w:rsidR="00392BEB" w:rsidRDefault="00392BEB" w:rsidP="009C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B67A3"/>
    <w:rsid w:val="001E1311"/>
    <w:rsid w:val="00370846"/>
    <w:rsid w:val="00392BEB"/>
    <w:rsid w:val="003A5C1B"/>
    <w:rsid w:val="0049217B"/>
    <w:rsid w:val="004F72D0"/>
    <w:rsid w:val="005638C7"/>
    <w:rsid w:val="00583194"/>
    <w:rsid w:val="00694F50"/>
    <w:rsid w:val="007F0950"/>
    <w:rsid w:val="007F181A"/>
    <w:rsid w:val="00803C7E"/>
    <w:rsid w:val="009C51AF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FF39B-870E-49F3-AF50-B2136EF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301077B2EBA7253062B31CB71CEC30E9C5DD6D6BCF4E08819BF20BE163lAE4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301077B2EBA62C3865B719B71CEC30E9C5DDl6ED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D998855CEB8533F9B2479226131BEDE2AD27676AB61FB548B766EF92823D6D9A0E4887CEB14FEC6BA04C6D83l4E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92301077B2EBA62C3860B71EB71CEC30E9C5DDl6EDE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2023-11-16T08:47:00Z</cp:lastPrinted>
  <dcterms:created xsi:type="dcterms:W3CDTF">2023-11-16T10:02:00Z</dcterms:created>
  <dcterms:modified xsi:type="dcterms:W3CDTF">2023-11-16T10:02:00Z</dcterms:modified>
</cp:coreProperties>
</file>